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1E01" w14:textId="5563DABF" w:rsidR="00AB26F8" w:rsidRDefault="00AB26F8" w:rsidP="00AB26F8">
      <w:pPr>
        <w:jc w:val="center"/>
        <w:rPr>
          <w:rFonts w:eastAsia="Times New Roman" w:cs="Times New Roman"/>
        </w:rPr>
      </w:pPr>
      <w:r>
        <w:rPr>
          <w:rFonts w:eastAsia="Times New Roman" w:cs="Times New Roman"/>
          <w:noProof/>
          <w:color w:val="0000FF"/>
        </w:rPr>
        <w:drawing>
          <wp:inline distT="0" distB="0" distL="0" distR="0" wp14:anchorId="5E3819B3" wp14:editId="12D68EC0">
            <wp:extent cx="3359150" cy="547061"/>
            <wp:effectExtent l="0" t="0" r="0" b="12065"/>
            <wp:docPr id="2" name="Picture 1" descr="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092" cy="547214"/>
                    </a:xfrm>
                    <a:prstGeom prst="rect">
                      <a:avLst/>
                    </a:prstGeom>
                    <a:noFill/>
                    <a:ln>
                      <a:noFill/>
                    </a:ln>
                  </pic:spPr>
                </pic:pic>
              </a:graphicData>
            </a:graphic>
          </wp:inline>
        </w:drawing>
      </w:r>
    </w:p>
    <w:p w14:paraId="30361022" w14:textId="77777777" w:rsidR="00E44AB9" w:rsidRDefault="00E44AB9" w:rsidP="00E44AB9">
      <w:pPr>
        <w:pBdr>
          <w:bottom w:val="single" w:sz="12" w:space="1" w:color="auto"/>
        </w:pBdr>
        <w:jc w:val="center"/>
        <w:rPr>
          <w:rFonts w:ascii="Times New Roman" w:hAnsi="Times New Roman" w:cs="Times New Roman"/>
        </w:rPr>
      </w:pPr>
    </w:p>
    <w:p w14:paraId="07E18654" w14:textId="105C8AAC" w:rsidR="00AB26F8" w:rsidRDefault="00AB26F8" w:rsidP="00AB26F8">
      <w:pPr>
        <w:pStyle w:val="NormalWeb"/>
        <w:spacing w:before="0" w:beforeAutospacing="0" w:after="0" w:afterAutospacing="0"/>
        <w:jc w:val="center"/>
      </w:pPr>
      <w:r>
        <w:t>PO Box 5992| Katy, Texas 77491 | 281.579.8877</w:t>
      </w:r>
    </w:p>
    <w:p w14:paraId="11579BC2" w14:textId="77777777" w:rsidR="00D10EEC" w:rsidRDefault="00D10EEC">
      <w:pPr>
        <w:rPr>
          <w:rFonts w:ascii="Times New Roman" w:hAnsi="Times New Roman" w:cs="Times New Roman"/>
        </w:rPr>
      </w:pPr>
    </w:p>
    <w:p w14:paraId="49409537" w14:textId="77777777" w:rsidR="00AB26F8" w:rsidRDefault="00AB26F8">
      <w:pPr>
        <w:rPr>
          <w:rFonts w:ascii="Times New Roman" w:hAnsi="Times New Roman" w:cs="Times New Roman"/>
        </w:rPr>
      </w:pPr>
    </w:p>
    <w:tbl>
      <w:tblPr>
        <w:tblStyle w:val="TableGrid"/>
        <w:tblW w:w="0" w:type="auto"/>
        <w:tblInd w:w="756" w:type="dxa"/>
        <w:tblLook w:val="04A0" w:firstRow="1" w:lastRow="0" w:firstColumn="1" w:lastColumn="0" w:noHBand="0" w:noVBand="1"/>
      </w:tblPr>
      <w:tblGrid>
        <w:gridCol w:w="4675"/>
        <w:gridCol w:w="4675"/>
      </w:tblGrid>
      <w:tr w:rsidR="00997C70" w14:paraId="41C1D290" w14:textId="77777777" w:rsidTr="00997C70">
        <w:tc>
          <w:tcPr>
            <w:tcW w:w="4675" w:type="dxa"/>
            <w:shd w:val="clear" w:color="auto" w:fill="D9D9D9" w:themeFill="background1" w:themeFillShade="D9"/>
          </w:tcPr>
          <w:p w14:paraId="5D186862" w14:textId="77777777" w:rsidR="00997C70" w:rsidRPr="005F4BE9" w:rsidRDefault="00997C70" w:rsidP="00E03180">
            <w:pPr>
              <w:jc w:val="center"/>
              <w:rPr>
                <w:b/>
              </w:rPr>
            </w:pPr>
            <w:r w:rsidRPr="005F4BE9">
              <w:rPr>
                <w:b/>
              </w:rPr>
              <w:t>Oil and Gas Pipeline Fundamentals</w:t>
            </w:r>
          </w:p>
        </w:tc>
        <w:tc>
          <w:tcPr>
            <w:tcW w:w="4675" w:type="dxa"/>
            <w:shd w:val="clear" w:color="auto" w:fill="D9D9D9" w:themeFill="background1" w:themeFillShade="D9"/>
          </w:tcPr>
          <w:p w14:paraId="0C69612E" w14:textId="77777777" w:rsidR="00997C70" w:rsidRPr="005F4BE9" w:rsidRDefault="00997C70" w:rsidP="00E03180">
            <w:pPr>
              <w:jc w:val="center"/>
              <w:rPr>
                <w:b/>
              </w:rPr>
            </w:pPr>
            <w:r w:rsidRPr="005F4BE9">
              <w:rPr>
                <w:b/>
              </w:rPr>
              <w:t xml:space="preserve">Oil and Gas Pipelines for </w:t>
            </w:r>
            <w:proofErr w:type="spellStart"/>
            <w:r w:rsidRPr="005F4BE9">
              <w:rPr>
                <w:b/>
              </w:rPr>
              <w:t>NonTechnical</w:t>
            </w:r>
            <w:proofErr w:type="spellEnd"/>
            <w:r w:rsidRPr="005F4BE9">
              <w:rPr>
                <w:b/>
              </w:rPr>
              <w:t xml:space="preserve"> Professionals</w:t>
            </w:r>
          </w:p>
        </w:tc>
      </w:tr>
      <w:tr w:rsidR="00997C70" w14:paraId="10A4EE72" w14:textId="77777777" w:rsidTr="00997C70">
        <w:trPr>
          <w:trHeight w:val="2160"/>
        </w:trPr>
        <w:tc>
          <w:tcPr>
            <w:tcW w:w="4675" w:type="dxa"/>
          </w:tcPr>
          <w:p w14:paraId="43B7C8A3" w14:textId="77777777" w:rsidR="00997C70" w:rsidRDefault="00997C70" w:rsidP="00E03180">
            <w:r w:rsidRPr="005F4BE9">
              <w:rPr>
                <w:b/>
              </w:rPr>
              <w:t>Audience:</w:t>
            </w:r>
            <w:r>
              <w:t xml:space="preserve">  T</w:t>
            </w:r>
            <w:r w:rsidRPr="005F4BE9">
              <w:t xml:space="preserve">echnical and operations people who are new to pipelines or to a technical or operations role.  Roles included operations, maintenance, engineering, technical, </w:t>
            </w:r>
            <w:proofErr w:type="spellStart"/>
            <w:r w:rsidRPr="005F4BE9">
              <w:t>scada</w:t>
            </w:r>
            <w:proofErr w:type="spellEnd"/>
            <w:r w:rsidRPr="005F4BE9">
              <w:t>, controls, and the like.</w:t>
            </w:r>
          </w:p>
        </w:tc>
        <w:tc>
          <w:tcPr>
            <w:tcW w:w="4675" w:type="dxa"/>
          </w:tcPr>
          <w:p w14:paraId="7C98E562" w14:textId="77777777" w:rsidR="00997C70" w:rsidRPr="005F4BE9" w:rsidRDefault="00997C70" w:rsidP="00E03180">
            <w:pPr>
              <w:rPr>
                <w:b/>
              </w:rPr>
            </w:pPr>
            <w:r w:rsidRPr="005F4BE9">
              <w:rPr>
                <w:b/>
              </w:rPr>
              <w:t xml:space="preserve">Audience: </w:t>
            </w:r>
            <w:r>
              <w:rPr>
                <w:b/>
              </w:rPr>
              <w:t xml:space="preserve">  </w:t>
            </w:r>
            <w:r>
              <w:t>T</w:t>
            </w:r>
            <w:r w:rsidRPr="005F4BE9">
              <w:t>hose who are employed by oil and gas pipeline companies in accounting, financial, and other support capacities such as HR, legal, supply chain and PR, and for those who work for companies which provide support services, support products, and software to oil and gas pipeline companies.</w:t>
            </w:r>
          </w:p>
        </w:tc>
        <w:bookmarkStart w:id="0" w:name="_GoBack"/>
        <w:bookmarkEnd w:id="0"/>
      </w:tr>
      <w:tr w:rsidR="00997C70" w14:paraId="3157FE6B" w14:textId="77777777" w:rsidTr="00997C70">
        <w:tc>
          <w:tcPr>
            <w:tcW w:w="4675" w:type="dxa"/>
            <w:shd w:val="clear" w:color="auto" w:fill="D9D9D9" w:themeFill="background1" w:themeFillShade="D9"/>
          </w:tcPr>
          <w:p w14:paraId="225C390C" w14:textId="77777777" w:rsidR="00997C70" w:rsidRPr="005F4BE9" w:rsidRDefault="00997C70" w:rsidP="00E03180">
            <w:pPr>
              <w:jc w:val="center"/>
              <w:rPr>
                <w:b/>
              </w:rPr>
            </w:pPr>
            <w:r w:rsidRPr="005F4BE9">
              <w:rPr>
                <w:b/>
              </w:rPr>
              <w:t>Topics</w:t>
            </w:r>
          </w:p>
        </w:tc>
        <w:tc>
          <w:tcPr>
            <w:tcW w:w="4675" w:type="dxa"/>
            <w:shd w:val="clear" w:color="auto" w:fill="D9D9D9" w:themeFill="background1" w:themeFillShade="D9"/>
          </w:tcPr>
          <w:p w14:paraId="47054C96" w14:textId="77777777" w:rsidR="00997C70" w:rsidRPr="005F4BE9" w:rsidRDefault="00997C70" w:rsidP="00E03180">
            <w:pPr>
              <w:ind w:left="720" w:hanging="720"/>
              <w:jc w:val="center"/>
              <w:rPr>
                <w:b/>
              </w:rPr>
            </w:pPr>
            <w:r w:rsidRPr="005F4BE9">
              <w:rPr>
                <w:b/>
              </w:rPr>
              <w:t>Topics</w:t>
            </w:r>
          </w:p>
        </w:tc>
      </w:tr>
      <w:tr w:rsidR="00997C70" w14:paraId="7EC13B60" w14:textId="77777777" w:rsidTr="00997C70">
        <w:trPr>
          <w:trHeight w:val="432"/>
        </w:trPr>
        <w:tc>
          <w:tcPr>
            <w:tcW w:w="4675" w:type="dxa"/>
          </w:tcPr>
          <w:p w14:paraId="17C8263E" w14:textId="77777777" w:rsidR="00997C70" w:rsidRPr="006C7F31" w:rsidRDefault="00997C70" w:rsidP="00997C70">
            <w:pPr>
              <w:pStyle w:val="ListParagraph"/>
              <w:numPr>
                <w:ilvl w:val="0"/>
                <w:numId w:val="22"/>
              </w:numPr>
            </w:pPr>
            <w:r w:rsidRPr="006C7F31">
              <w:t>The Energy Pipeline Industry</w:t>
            </w:r>
          </w:p>
        </w:tc>
        <w:tc>
          <w:tcPr>
            <w:tcW w:w="4675" w:type="dxa"/>
          </w:tcPr>
          <w:p w14:paraId="746FC40E" w14:textId="77777777" w:rsidR="00997C70" w:rsidRPr="007B377C" w:rsidRDefault="00997C70" w:rsidP="00997C70">
            <w:pPr>
              <w:pStyle w:val="ListParagraph"/>
              <w:numPr>
                <w:ilvl w:val="0"/>
                <w:numId w:val="23"/>
              </w:numPr>
            </w:pPr>
            <w:r w:rsidRPr="007B377C">
              <w:t>The Energy Pipeline Industry</w:t>
            </w:r>
          </w:p>
        </w:tc>
      </w:tr>
      <w:tr w:rsidR="00997C70" w14:paraId="6C178D74" w14:textId="77777777" w:rsidTr="00997C70">
        <w:trPr>
          <w:trHeight w:val="432"/>
        </w:trPr>
        <w:tc>
          <w:tcPr>
            <w:tcW w:w="4675" w:type="dxa"/>
          </w:tcPr>
          <w:p w14:paraId="560FE076" w14:textId="77777777" w:rsidR="00997C70" w:rsidRPr="006C7F31" w:rsidRDefault="00997C70" w:rsidP="00997C70">
            <w:pPr>
              <w:pStyle w:val="ListParagraph"/>
              <w:numPr>
                <w:ilvl w:val="0"/>
                <w:numId w:val="22"/>
              </w:numPr>
            </w:pPr>
            <w:r w:rsidRPr="006C7F31">
              <w:t>Equipment and Components</w:t>
            </w:r>
          </w:p>
        </w:tc>
        <w:tc>
          <w:tcPr>
            <w:tcW w:w="4675" w:type="dxa"/>
          </w:tcPr>
          <w:p w14:paraId="3A23022F" w14:textId="77777777" w:rsidR="00997C70" w:rsidRPr="007B377C" w:rsidRDefault="00997C70" w:rsidP="00997C70">
            <w:pPr>
              <w:pStyle w:val="ListParagraph"/>
              <w:numPr>
                <w:ilvl w:val="0"/>
                <w:numId w:val="23"/>
              </w:numPr>
            </w:pPr>
            <w:r w:rsidRPr="007B377C">
              <w:t>Equipment and Components</w:t>
            </w:r>
          </w:p>
        </w:tc>
      </w:tr>
      <w:tr w:rsidR="00997C70" w14:paraId="593606CC" w14:textId="77777777" w:rsidTr="00997C70">
        <w:trPr>
          <w:trHeight w:val="432"/>
        </w:trPr>
        <w:tc>
          <w:tcPr>
            <w:tcW w:w="4675" w:type="dxa"/>
          </w:tcPr>
          <w:p w14:paraId="5E9A86D0" w14:textId="77777777" w:rsidR="00997C70" w:rsidRPr="006C7F31" w:rsidRDefault="00997C70" w:rsidP="00997C70">
            <w:pPr>
              <w:pStyle w:val="ListParagraph"/>
              <w:numPr>
                <w:ilvl w:val="0"/>
                <w:numId w:val="22"/>
              </w:numPr>
            </w:pPr>
            <w:r w:rsidRPr="006C7F31">
              <w:t>Field Operations</w:t>
            </w:r>
          </w:p>
        </w:tc>
        <w:tc>
          <w:tcPr>
            <w:tcW w:w="4675" w:type="dxa"/>
          </w:tcPr>
          <w:p w14:paraId="6932B426" w14:textId="77777777" w:rsidR="00997C70" w:rsidRPr="007B377C" w:rsidRDefault="00997C70" w:rsidP="00997C70">
            <w:pPr>
              <w:pStyle w:val="ListParagraph"/>
              <w:numPr>
                <w:ilvl w:val="0"/>
                <w:numId w:val="23"/>
              </w:numPr>
            </w:pPr>
            <w:r w:rsidRPr="007B377C">
              <w:t>Field Operations</w:t>
            </w:r>
          </w:p>
        </w:tc>
      </w:tr>
      <w:tr w:rsidR="00997C70" w14:paraId="738FA07A" w14:textId="77777777" w:rsidTr="00997C70">
        <w:trPr>
          <w:trHeight w:val="432"/>
        </w:trPr>
        <w:tc>
          <w:tcPr>
            <w:tcW w:w="4675" w:type="dxa"/>
          </w:tcPr>
          <w:p w14:paraId="08AF96A8" w14:textId="77777777" w:rsidR="00997C70" w:rsidRPr="006C7F31" w:rsidRDefault="00997C70" w:rsidP="00997C70">
            <w:pPr>
              <w:pStyle w:val="ListParagraph"/>
              <w:numPr>
                <w:ilvl w:val="0"/>
                <w:numId w:val="22"/>
              </w:numPr>
            </w:pPr>
            <w:r w:rsidRPr="006C7F31">
              <w:t>Integrity 1 – What Causes Releases</w:t>
            </w:r>
          </w:p>
        </w:tc>
        <w:tc>
          <w:tcPr>
            <w:tcW w:w="4675" w:type="dxa"/>
          </w:tcPr>
          <w:p w14:paraId="533356A4" w14:textId="77777777" w:rsidR="00997C70" w:rsidRPr="007B377C" w:rsidRDefault="00997C70" w:rsidP="00997C70">
            <w:pPr>
              <w:pStyle w:val="ListParagraph"/>
              <w:numPr>
                <w:ilvl w:val="0"/>
                <w:numId w:val="23"/>
              </w:numPr>
            </w:pPr>
            <w:r w:rsidRPr="007B377C">
              <w:t>Integrity 1 – What Causes Releases</w:t>
            </w:r>
          </w:p>
        </w:tc>
      </w:tr>
      <w:tr w:rsidR="00997C70" w14:paraId="41926F16" w14:textId="77777777" w:rsidTr="00997C70">
        <w:trPr>
          <w:trHeight w:val="432"/>
        </w:trPr>
        <w:tc>
          <w:tcPr>
            <w:tcW w:w="4675" w:type="dxa"/>
          </w:tcPr>
          <w:p w14:paraId="680C4C6C" w14:textId="77777777" w:rsidR="00997C70" w:rsidRPr="006C7F31" w:rsidRDefault="00997C70" w:rsidP="00997C70">
            <w:pPr>
              <w:pStyle w:val="ListParagraph"/>
              <w:numPr>
                <w:ilvl w:val="0"/>
                <w:numId w:val="22"/>
              </w:numPr>
            </w:pPr>
            <w:r w:rsidRPr="006C7F31">
              <w:t>Integrity 2 – Preventing Releases</w:t>
            </w:r>
          </w:p>
        </w:tc>
        <w:tc>
          <w:tcPr>
            <w:tcW w:w="4675" w:type="dxa"/>
          </w:tcPr>
          <w:p w14:paraId="3ADCBED9" w14:textId="77777777" w:rsidR="00997C70" w:rsidRPr="007B377C" w:rsidRDefault="00997C70" w:rsidP="00997C70">
            <w:pPr>
              <w:pStyle w:val="ListParagraph"/>
              <w:numPr>
                <w:ilvl w:val="0"/>
                <w:numId w:val="23"/>
              </w:numPr>
            </w:pPr>
            <w:r w:rsidRPr="007B377C">
              <w:t>Integrity 2 – Preventing Releases</w:t>
            </w:r>
          </w:p>
        </w:tc>
      </w:tr>
      <w:tr w:rsidR="00997C70" w14:paraId="50E31F25" w14:textId="77777777" w:rsidTr="00997C70">
        <w:trPr>
          <w:trHeight w:val="432"/>
        </w:trPr>
        <w:tc>
          <w:tcPr>
            <w:tcW w:w="4675" w:type="dxa"/>
          </w:tcPr>
          <w:p w14:paraId="29BC7A2E" w14:textId="77777777" w:rsidR="00997C70" w:rsidRPr="006C7F31" w:rsidRDefault="00997C70" w:rsidP="00997C70">
            <w:pPr>
              <w:pStyle w:val="ListParagraph"/>
              <w:numPr>
                <w:ilvl w:val="0"/>
                <w:numId w:val="22"/>
              </w:numPr>
            </w:pPr>
            <w:r w:rsidRPr="006C7F31">
              <w:t>Regulations</w:t>
            </w:r>
          </w:p>
        </w:tc>
        <w:tc>
          <w:tcPr>
            <w:tcW w:w="4675" w:type="dxa"/>
          </w:tcPr>
          <w:p w14:paraId="3EA812B9" w14:textId="77777777" w:rsidR="00997C70" w:rsidRPr="007B377C" w:rsidRDefault="00997C70" w:rsidP="00997C70">
            <w:pPr>
              <w:pStyle w:val="ListParagraph"/>
              <w:numPr>
                <w:ilvl w:val="0"/>
                <w:numId w:val="23"/>
              </w:numPr>
            </w:pPr>
            <w:r w:rsidRPr="007B377C">
              <w:t>Regulations</w:t>
            </w:r>
          </w:p>
        </w:tc>
      </w:tr>
      <w:tr w:rsidR="00997C70" w14:paraId="368AF283" w14:textId="77777777" w:rsidTr="00997C70">
        <w:trPr>
          <w:trHeight w:val="432"/>
        </w:trPr>
        <w:tc>
          <w:tcPr>
            <w:tcW w:w="4675" w:type="dxa"/>
          </w:tcPr>
          <w:p w14:paraId="342EA369" w14:textId="77777777" w:rsidR="00997C70" w:rsidRPr="006C7F31" w:rsidRDefault="00997C70" w:rsidP="00997C70">
            <w:pPr>
              <w:pStyle w:val="ListParagraph"/>
              <w:numPr>
                <w:ilvl w:val="0"/>
                <w:numId w:val="22"/>
              </w:numPr>
            </w:pPr>
            <w:r w:rsidRPr="006C7F31">
              <w:t xml:space="preserve">Central Control Room Operations  </w:t>
            </w:r>
          </w:p>
        </w:tc>
        <w:tc>
          <w:tcPr>
            <w:tcW w:w="4675" w:type="dxa"/>
          </w:tcPr>
          <w:p w14:paraId="7C3FCC3B" w14:textId="77777777" w:rsidR="00997C70" w:rsidRPr="007B377C" w:rsidRDefault="00997C70" w:rsidP="00997C70">
            <w:pPr>
              <w:pStyle w:val="ListParagraph"/>
              <w:numPr>
                <w:ilvl w:val="0"/>
                <w:numId w:val="23"/>
              </w:numPr>
            </w:pPr>
            <w:r w:rsidRPr="007B377C">
              <w:t xml:space="preserve">Central Control Room Operations  </w:t>
            </w:r>
          </w:p>
        </w:tc>
      </w:tr>
      <w:tr w:rsidR="00997C70" w14:paraId="371BA2BE" w14:textId="77777777" w:rsidTr="00997C70">
        <w:trPr>
          <w:trHeight w:val="432"/>
        </w:trPr>
        <w:tc>
          <w:tcPr>
            <w:tcW w:w="4675" w:type="dxa"/>
          </w:tcPr>
          <w:p w14:paraId="0B8667D5" w14:textId="77777777" w:rsidR="00997C70" w:rsidRPr="006C7F31" w:rsidRDefault="00997C70" w:rsidP="00997C70">
            <w:pPr>
              <w:pStyle w:val="ListParagraph"/>
              <w:numPr>
                <w:ilvl w:val="0"/>
                <w:numId w:val="22"/>
              </w:numPr>
            </w:pPr>
            <w:r w:rsidRPr="006C7F31">
              <w:t>Introduction to SCADA and Controls</w:t>
            </w:r>
          </w:p>
        </w:tc>
        <w:tc>
          <w:tcPr>
            <w:tcW w:w="4675" w:type="dxa"/>
          </w:tcPr>
          <w:p w14:paraId="3E49FA7F" w14:textId="77777777" w:rsidR="00997C70" w:rsidRPr="007B377C" w:rsidRDefault="00997C70" w:rsidP="00997C70">
            <w:pPr>
              <w:pStyle w:val="ListParagraph"/>
              <w:numPr>
                <w:ilvl w:val="0"/>
                <w:numId w:val="23"/>
              </w:numPr>
            </w:pPr>
            <w:r w:rsidRPr="007B377C">
              <w:t>Introduction to SCADA and Controls</w:t>
            </w:r>
          </w:p>
        </w:tc>
      </w:tr>
      <w:tr w:rsidR="00997C70" w14:paraId="26D100D9" w14:textId="77777777" w:rsidTr="00997C70">
        <w:trPr>
          <w:trHeight w:val="432"/>
        </w:trPr>
        <w:tc>
          <w:tcPr>
            <w:tcW w:w="4675" w:type="dxa"/>
          </w:tcPr>
          <w:p w14:paraId="3A3F2D3D" w14:textId="77777777" w:rsidR="00997C70" w:rsidRPr="006C7F31" w:rsidRDefault="00997C70" w:rsidP="00997C70">
            <w:pPr>
              <w:pStyle w:val="ListParagraph"/>
              <w:numPr>
                <w:ilvl w:val="0"/>
                <w:numId w:val="22"/>
              </w:numPr>
            </w:pPr>
            <w:r w:rsidRPr="006C7F31">
              <w:t>Introduction to Pipeline Construction</w:t>
            </w:r>
          </w:p>
        </w:tc>
        <w:tc>
          <w:tcPr>
            <w:tcW w:w="4675" w:type="dxa"/>
          </w:tcPr>
          <w:p w14:paraId="24B74B50" w14:textId="77777777" w:rsidR="00997C70" w:rsidRPr="007B377C" w:rsidRDefault="00997C70" w:rsidP="00997C70">
            <w:pPr>
              <w:pStyle w:val="ListParagraph"/>
              <w:numPr>
                <w:ilvl w:val="0"/>
                <w:numId w:val="23"/>
              </w:numPr>
            </w:pPr>
            <w:r w:rsidRPr="007B377C">
              <w:t>Introduction to Pipeline Construction</w:t>
            </w:r>
          </w:p>
        </w:tc>
      </w:tr>
      <w:tr w:rsidR="00997C70" w14:paraId="34001823" w14:textId="77777777" w:rsidTr="00997C70">
        <w:trPr>
          <w:trHeight w:val="432"/>
        </w:trPr>
        <w:tc>
          <w:tcPr>
            <w:tcW w:w="4675" w:type="dxa"/>
          </w:tcPr>
          <w:p w14:paraId="3B1A54EE" w14:textId="77777777" w:rsidR="00997C70" w:rsidRPr="006C7F31" w:rsidRDefault="00997C70" w:rsidP="00997C70">
            <w:pPr>
              <w:pStyle w:val="ListParagraph"/>
              <w:numPr>
                <w:ilvl w:val="0"/>
                <w:numId w:val="22"/>
              </w:numPr>
            </w:pPr>
            <w:r w:rsidRPr="006C7F31">
              <w:t>Pipeline Economics</w:t>
            </w:r>
          </w:p>
        </w:tc>
        <w:tc>
          <w:tcPr>
            <w:tcW w:w="4675" w:type="dxa"/>
          </w:tcPr>
          <w:p w14:paraId="7C390EF7" w14:textId="77777777" w:rsidR="00997C70" w:rsidRPr="007B377C" w:rsidRDefault="00997C70" w:rsidP="00997C70">
            <w:pPr>
              <w:pStyle w:val="ListParagraph"/>
              <w:numPr>
                <w:ilvl w:val="0"/>
                <w:numId w:val="23"/>
              </w:numPr>
            </w:pPr>
            <w:r w:rsidRPr="007B377C">
              <w:t>Pipeline Economics</w:t>
            </w:r>
          </w:p>
        </w:tc>
      </w:tr>
      <w:tr w:rsidR="00997C70" w14:paraId="218C5A4C" w14:textId="77777777" w:rsidTr="00997C70">
        <w:trPr>
          <w:trHeight w:val="432"/>
        </w:trPr>
        <w:tc>
          <w:tcPr>
            <w:tcW w:w="4675" w:type="dxa"/>
          </w:tcPr>
          <w:p w14:paraId="02AABAAE" w14:textId="77777777" w:rsidR="00997C70" w:rsidRPr="006C7F31" w:rsidRDefault="00997C70" w:rsidP="00997C70">
            <w:pPr>
              <w:pStyle w:val="ListParagraph"/>
              <w:numPr>
                <w:ilvl w:val="0"/>
                <w:numId w:val="22"/>
              </w:numPr>
            </w:pPr>
            <w:r w:rsidRPr="006C7F31">
              <w:t>Introduction to Hydraulics</w:t>
            </w:r>
          </w:p>
        </w:tc>
        <w:tc>
          <w:tcPr>
            <w:tcW w:w="4675" w:type="dxa"/>
          </w:tcPr>
          <w:p w14:paraId="6AC84F05" w14:textId="77777777" w:rsidR="00997C70" w:rsidRPr="007B377C" w:rsidRDefault="00997C70" w:rsidP="00E03180"/>
        </w:tc>
      </w:tr>
      <w:tr w:rsidR="00997C70" w14:paraId="3EF7FC38" w14:textId="77777777" w:rsidTr="00997C70">
        <w:trPr>
          <w:trHeight w:val="432"/>
        </w:trPr>
        <w:tc>
          <w:tcPr>
            <w:tcW w:w="4675" w:type="dxa"/>
          </w:tcPr>
          <w:p w14:paraId="2070DA2C" w14:textId="77777777" w:rsidR="00997C70" w:rsidRPr="006C7F31" w:rsidRDefault="00997C70" w:rsidP="00997C70">
            <w:pPr>
              <w:pStyle w:val="ListParagraph"/>
              <w:numPr>
                <w:ilvl w:val="0"/>
                <w:numId w:val="22"/>
              </w:numPr>
            </w:pPr>
            <w:r w:rsidRPr="006C7F31">
              <w:t>Introduction to Leak Detection</w:t>
            </w:r>
          </w:p>
        </w:tc>
        <w:tc>
          <w:tcPr>
            <w:tcW w:w="4675" w:type="dxa"/>
          </w:tcPr>
          <w:p w14:paraId="246E852E" w14:textId="77777777" w:rsidR="00997C70" w:rsidRPr="007B377C" w:rsidRDefault="00997C70" w:rsidP="00E03180"/>
        </w:tc>
      </w:tr>
      <w:tr w:rsidR="00997C70" w14:paraId="7779DD0A" w14:textId="77777777" w:rsidTr="00997C70">
        <w:trPr>
          <w:trHeight w:val="432"/>
        </w:trPr>
        <w:tc>
          <w:tcPr>
            <w:tcW w:w="4675" w:type="dxa"/>
          </w:tcPr>
          <w:p w14:paraId="4A93C743" w14:textId="77777777" w:rsidR="00997C70" w:rsidRPr="006C7F31" w:rsidRDefault="00997C70" w:rsidP="00997C70">
            <w:pPr>
              <w:pStyle w:val="ListParagraph"/>
              <w:numPr>
                <w:ilvl w:val="0"/>
                <w:numId w:val="22"/>
              </w:numPr>
            </w:pPr>
            <w:r w:rsidRPr="006C7F31">
              <w:t>Integrity 3 – Finding and Repairing Defects</w:t>
            </w:r>
          </w:p>
        </w:tc>
        <w:tc>
          <w:tcPr>
            <w:tcW w:w="4675" w:type="dxa"/>
          </w:tcPr>
          <w:p w14:paraId="225023CB" w14:textId="77777777" w:rsidR="00997C70" w:rsidRPr="007B377C" w:rsidRDefault="00997C70" w:rsidP="00E03180"/>
        </w:tc>
      </w:tr>
      <w:tr w:rsidR="00997C70" w14:paraId="44095509" w14:textId="77777777" w:rsidTr="00997C70">
        <w:trPr>
          <w:trHeight w:val="432"/>
        </w:trPr>
        <w:tc>
          <w:tcPr>
            <w:tcW w:w="4675" w:type="dxa"/>
          </w:tcPr>
          <w:p w14:paraId="1921AE9D" w14:textId="77777777" w:rsidR="00997C70" w:rsidRDefault="00997C70" w:rsidP="00997C70">
            <w:pPr>
              <w:pStyle w:val="ListParagraph"/>
              <w:numPr>
                <w:ilvl w:val="0"/>
                <w:numId w:val="22"/>
              </w:numPr>
            </w:pPr>
            <w:r w:rsidRPr="006C7F31">
              <w:t>Introduction to Engineering and Design</w:t>
            </w:r>
          </w:p>
        </w:tc>
        <w:tc>
          <w:tcPr>
            <w:tcW w:w="4675" w:type="dxa"/>
          </w:tcPr>
          <w:p w14:paraId="3C3478C1" w14:textId="77777777" w:rsidR="00997C70" w:rsidRDefault="00997C70" w:rsidP="00E03180"/>
        </w:tc>
      </w:tr>
      <w:tr w:rsidR="00997C70" w14:paraId="748311FD" w14:textId="77777777" w:rsidTr="00997C70">
        <w:tc>
          <w:tcPr>
            <w:tcW w:w="9350" w:type="dxa"/>
            <w:gridSpan w:val="2"/>
            <w:shd w:val="clear" w:color="auto" w:fill="D9D9D9" w:themeFill="background1" w:themeFillShade="D9"/>
          </w:tcPr>
          <w:p w14:paraId="35101AB4" w14:textId="77777777" w:rsidR="00997C70" w:rsidRDefault="00997C70" w:rsidP="00E03180">
            <w:r>
              <w:t xml:space="preserve">Oil and Gas Pipeline Fundamentals is 2 days in length, and covers the 14 topics listed.  Oil and Gas Pipelines for </w:t>
            </w:r>
            <w:proofErr w:type="spellStart"/>
            <w:r>
              <w:t>NonTechnical</w:t>
            </w:r>
            <w:proofErr w:type="spellEnd"/>
            <w:r>
              <w:t xml:space="preserve"> Professions is 1.5 days in length and covers the 10 topics shown on the table. </w:t>
            </w:r>
          </w:p>
          <w:p w14:paraId="45DD3C77" w14:textId="77777777" w:rsidR="00997C70" w:rsidRDefault="00997C70" w:rsidP="00E03180"/>
          <w:p w14:paraId="5365693C" w14:textId="77777777" w:rsidR="00997C70" w:rsidRDefault="00997C70" w:rsidP="00E03180">
            <w:r>
              <w:t xml:space="preserve">The two classes are often taught concurrently in which case those attending Oil and Gas Pipelines for </w:t>
            </w:r>
            <w:proofErr w:type="spellStart"/>
            <w:r>
              <w:t>NonTechnical</w:t>
            </w:r>
            <w:proofErr w:type="spellEnd"/>
            <w:r>
              <w:t xml:space="preserve"> Professionals adjourn around lunch time and those attending Oil and Gas Pipeline Fundamentals remain for other 4 more technical topics. </w:t>
            </w:r>
          </w:p>
        </w:tc>
      </w:tr>
    </w:tbl>
    <w:p w14:paraId="76307E53" w14:textId="416F6588" w:rsidR="00AC31E9" w:rsidRPr="0041317D" w:rsidRDefault="00AC31E9" w:rsidP="00997C70">
      <w:pPr>
        <w:rPr>
          <w:rFonts w:ascii="Times New Roman" w:hAnsi="Times New Roman" w:cs="Times New Roman"/>
        </w:rPr>
      </w:pPr>
    </w:p>
    <w:sectPr w:rsidR="00AC31E9" w:rsidRPr="0041317D" w:rsidSect="005D2753">
      <w:pgSz w:w="12242" w:h="15842"/>
      <w:pgMar w:top="680" w:right="680" w:bottom="680" w:left="680"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328"/>
    <w:multiLevelType w:val="multilevel"/>
    <w:tmpl w:val="5706E6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95B18DB"/>
    <w:multiLevelType w:val="hybridMultilevel"/>
    <w:tmpl w:val="FF5C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17C02"/>
    <w:multiLevelType w:val="multilevel"/>
    <w:tmpl w:val="500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115CF"/>
    <w:multiLevelType w:val="hybridMultilevel"/>
    <w:tmpl w:val="9B6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F3903"/>
    <w:multiLevelType w:val="hybridMultilevel"/>
    <w:tmpl w:val="E558F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027E1"/>
    <w:multiLevelType w:val="hybridMultilevel"/>
    <w:tmpl w:val="45D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17FBE"/>
    <w:multiLevelType w:val="hybridMultilevel"/>
    <w:tmpl w:val="C7D0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24A1A"/>
    <w:multiLevelType w:val="hybridMultilevel"/>
    <w:tmpl w:val="2BAA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80667"/>
    <w:multiLevelType w:val="hybridMultilevel"/>
    <w:tmpl w:val="92D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5297F"/>
    <w:multiLevelType w:val="hybridMultilevel"/>
    <w:tmpl w:val="2EF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C5E59"/>
    <w:multiLevelType w:val="multilevel"/>
    <w:tmpl w:val="79D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E1B4A"/>
    <w:multiLevelType w:val="hybridMultilevel"/>
    <w:tmpl w:val="5706E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415E3E"/>
    <w:multiLevelType w:val="multilevel"/>
    <w:tmpl w:val="86F4AC2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396F0A71"/>
    <w:multiLevelType w:val="hybridMultilevel"/>
    <w:tmpl w:val="9FA6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43CEE"/>
    <w:multiLevelType w:val="hybridMultilevel"/>
    <w:tmpl w:val="539E5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334E82"/>
    <w:multiLevelType w:val="hybridMultilevel"/>
    <w:tmpl w:val="2D78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nsid w:val="559F70C7"/>
    <w:multiLevelType w:val="hybridMultilevel"/>
    <w:tmpl w:val="86F4AC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4E29EB"/>
    <w:multiLevelType w:val="multilevel"/>
    <w:tmpl w:val="86F4AC2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5FC60C35"/>
    <w:multiLevelType w:val="hybridMultilevel"/>
    <w:tmpl w:val="DF3A5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1471904"/>
    <w:multiLevelType w:val="hybridMultilevel"/>
    <w:tmpl w:val="8128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368C9"/>
    <w:multiLevelType w:val="hybridMultilevel"/>
    <w:tmpl w:val="96A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87862"/>
    <w:multiLevelType w:val="hybridMultilevel"/>
    <w:tmpl w:val="512E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573BC"/>
    <w:multiLevelType w:val="multilevel"/>
    <w:tmpl w:val="E558F0D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6"/>
  </w:num>
  <w:num w:numId="4">
    <w:abstractNumId w:val="9"/>
  </w:num>
  <w:num w:numId="5">
    <w:abstractNumId w:val="11"/>
  </w:num>
  <w:num w:numId="6">
    <w:abstractNumId w:val="5"/>
  </w:num>
  <w:num w:numId="7">
    <w:abstractNumId w:val="8"/>
  </w:num>
  <w:num w:numId="8">
    <w:abstractNumId w:val="0"/>
  </w:num>
  <w:num w:numId="9">
    <w:abstractNumId w:val="16"/>
  </w:num>
  <w:num w:numId="10">
    <w:abstractNumId w:val="4"/>
  </w:num>
  <w:num w:numId="11">
    <w:abstractNumId w:val="22"/>
  </w:num>
  <w:num w:numId="12">
    <w:abstractNumId w:val="7"/>
  </w:num>
  <w:num w:numId="13">
    <w:abstractNumId w:val="12"/>
  </w:num>
  <w:num w:numId="14">
    <w:abstractNumId w:val="14"/>
  </w:num>
  <w:num w:numId="15">
    <w:abstractNumId w:val="1"/>
  </w:num>
  <w:num w:numId="16">
    <w:abstractNumId w:val="18"/>
  </w:num>
  <w:num w:numId="17">
    <w:abstractNumId w:val="17"/>
  </w:num>
  <w:num w:numId="18">
    <w:abstractNumId w:val="15"/>
  </w:num>
  <w:num w:numId="19">
    <w:abstractNumId w:val="21"/>
  </w:num>
  <w:num w:numId="20">
    <w:abstractNumId w:val="10"/>
  </w:num>
  <w:num w:numId="21">
    <w:abstractNumId w:val="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19"/>
    <w:rsid w:val="00036E4F"/>
    <w:rsid w:val="000531F0"/>
    <w:rsid w:val="0006586B"/>
    <w:rsid w:val="00067852"/>
    <w:rsid w:val="00092543"/>
    <w:rsid w:val="00096370"/>
    <w:rsid w:val="000A0A28"/>
    <w:rsid w:val="000A228D"/>
    <w:rsid w:val="001057E4"/>
    <w:rsid w:val="00106E41"/>
    <w:rsid w:val="00113BE2"/>
    <w:rsid w:val="00152F4B"/>
    <w:rsid w:val="00162C05"/>
    <w:rsid w:val="001630DF"/>
    <w:rsid w:val="00164F59"/>
    <w:rsid w:val="00181721"/>
    <w:rsid w:val="001818EE"/>
    <w:rsid w:val="00186916"/>
    <w:rsid w:val="00187F50"/>
    <w:rsid w:val="00190660"/>
    <w:rsid w:val="001C225D"/>
    <w:rsid w:val="001C2E8A"/>
    <w:rsid w:val="001D3DC0"/>
    <w:rsid w:val="001E57D9"/>
    <w:rsid w:val="001E7CA3"/>
    <w:rsid w:val="00222A2E"/>
    <w:rsid w:val="0022519E"/>
    <w:rsid w:val="00265896"/>
    <w:rsid w:val="002659FB"/>
    <w:rsid w:val="00280A6C"/>
    <w:rsid w:val="0028228F"/>
    <w:rsid w:val="002B3DF9"/>
    <w:rsid w:val="002B75C9"/>
    <w:rsid w:val="002C34DE"/>
    <w:rsid w:val="002C624B"/>
    <w:rsid w:val="002C7A44"/>
    <w:rsid w:val="002D0E14"/>
    <w:rsid w:val="002D22FB"/>
    <w:rsid w:val="002E44E3"/>
    <w:rsid w:val="00304327"/>
    <w:rsid w:val="0030532A"/>
    <w:rsid w:val="00305EE6"/>
    <w:rsid w:val="00310574"/>
    <w:rsid w:val="003166D1"/>
    <w:rsid w:val="003433CD"/>
    <w:rsid w:val="00350EB4"/>
    <w:rsid w:val="0035634C"/>
    <w:rsid w:val="00364466"/>
    <w:rsid w:val="00371E49"/>
    <w:rsid w:val="003741C4"/>
    <w:rsid w:val="003848D8"/>
    <w:rsid w:val="003920DB"/>
    <w:rsid w:val="003A51EE"/>
    <w:rsid w:val="003B18AE"/>
    <w:rsid w:val="003B35FC"/>
    <w:rsid w:val="003B3ECA"/>
    <w:rsid w:val="003C2338"/>
    <w:rsid w:val="00403CB1"/>
    <w:rsid w:val="0041317D"/>
    <w:rsid w:val="004235B2"/>
    <w:rsid w:val="004245E8"/>
    <w:rsid w:val="0043008E"/>
    <w:rsid w:val="00432AA6"/>
    <w:rsid w:val="0044318A"/>
    <w:rsid w:val="00455866"/>
    <w:rsid w:val="0046188D"/>
    <w:rsid w:val="004629AC"/>
    <w:rsid w:val="0047235E"/>
    <w:rsid w:val="00477C3C"/>
    <w:rsid w:val="0048134B"/>
    <w:rsid w:val="0048214B"/>
    <w:rsid w:val="004933D6"/>
    <w:rsid w:val="004A1614"/>
    <w:rsid w:val="004C38AE"/>
    <w:rsid w:val="004C7113"/>
    <w:rsid w:val="004C7611"/>
    <w:rsid w:val="004E29C7"/>
    <w:rsid w:val="0050043A"/>
    <w:rsid w:val="005018CF"/>
    <w:rsid w:val="005051BB"/>
    <w:rsid w:val="0051097E"/>
    <w:rsid w:val="005124D7"/>
    <w:rsid w:val="0052226C"/>
    <w:rsid w:val="0054461E"/>
    <w:rsid w:val="00545912"/>
    <w:rsid w:val="00556893"/>
    <w:rsid w:val="0057302A"/>
    <w:rsid w:val="005746F1"/>
    <w:rsid w:val="00582C6B"/>
    <w:rsid w:val="0059799D"/>
    <w:rsid w:val="005A0DE3"/>
    <w:rsid w:val="005B6893"/>
    <w:rsid w:val="005D2753"/>
    <w:rsid w:val="005F0545"/>
    <w:rsid w:val="006070CD"/>
    <w:rsid w:val="00617804"/>
    <w:rsid w:val="006526D9"/>
    <w:rsid w:val="006564A6"/>
    <w:rsid w:val="00661B2D"/>
    <w:rsid w:val="006911C0"/>
    <w:rsid w:val="00695C0E"/>
    <w:rsid w:val="006A629F"/>
    <w:rsid w:val="006C6D46"/>
    <w:rsid w:val="006D0860"/>
    <w:rsid w:val="006D7819"/>
    <w:rsid w:val="006E2A37"/>
    <w:rsid w:val="006F2313"/>
    <w:rsid w:val="006F4947"/>
    <w:rsid w:val="006F6AA7"/>
    <w:rsid w:val="0070681E"/>
    <w:rsid w:val="00712B44"/>
    <w:rsid w:val="0072195C"/>
    <w:rsid w:val="00723254"/>
    <w:rsid w:val="00754856"/>
    <w:rsid w:val="0078495E"/>
    <w:rsid w:val="00792488"/>
    <w:rsid w:val="00797632"/>
    <w:rsid w:val="007B208A"/>
    <w:rsid w:val="007C1B27"/>
    <w:rsid w:val="007D36D1"/>
    <w:rsid w:val="007F21CD"/>
    <w:rsid w:val="00802303"/>
    <w:rsid w:val="00805259"/>
    <w:rsid w:val="00810706"/>
    <w:rsid w:val="00814370"/>
    <w:rsid w:val="00817F7C"/>
    <w:rsid w:val="008234B7"/>
    <w:rsid w:val="008465ED"/>
    <w:rsid w:val="008721EB"/>
    <w:rsid w:val="00883CA3"/>
    <w:rsid w:val="008905C9"/>
    <w:rsid w:val="00895EB7"/>
    <w:rsid w:val="008D7BDD"/>
    <w:rsid w:val="008E6066"/>
    <w:rsid w:val="00922271"/>
    <w:rsid w:val="00923D46"/>
    <w:rsid w:val="0094038B"/>
    <w:rsid w:val="00957BCB"/>
    <w:rsid w:val="00971CE0"/>
    <w:rsid w:val="009774B6"/>
    <w:rsid w:val="00994A7A"/>
    <w:rsid w:val="00997C70"/>
    <w:rsid w:val="009B4B89"/>
    <w:rsid w:val="00A02739"/>
    <w:rsid w:val="00A0454A"/>
    <w:rsid w:val="00A1292F"/>
    <w:rsid w:val="00A16D80"/>
    <w:rsid w:val="00A21CCC"/>
    <w:rsid w:val="00A651C0"/>
    <w:rsid w:val="00A66103"/>
    <w:rsid w:val="00A66EA5"/>
    <w:rsid w:val="00A75AFE"/>
    <w:rsid w:val="00A7767B"/>
    <w:rsid w:val="00A90358"/>
    <w:rsid w:val="00A96687"/>
    <w:rsid w:val="00AA5B5D"/>
    <w:rsid w:val="00AB26F8"/>
    <w:rsid w:val="00AB646A"/>
    <w:rsid w:val="00AC2CD9"/>
    <w:rsid w:val="00AC31E9"/>
    <w:rsid w:val="00AE1A42"/>
    <w:rsid w:val="00AF0D23"/>
    <w:rsid w:val="00B20130"/>
    <w:rsid w:val="00B40DA6"/>
    <w:rsid w:val="00B527DE"/>
    <w:rsid w:val="00B52AFF"/>
    <w:rsid w:val="00B668BA"/>
    <w:rsid w:val="00BB71D1"/>
    <w:rsid w:val="00BC0B84"/>
    <w:rsid w:val="00BE1F46"/>
    <w:rsid w:val="00C13E3D"/>
    <w:rsid w:val="00C325F4"/>
    <w:rsid w:val="00C36ECF"/>
    <w:rsid w:val="00C477E2"/>
    <w:rsid w:val="00C47DF2"/>
    <w:rsid w:val="00C5059C"/>
    <w:rsid w:val="00C62209"/>
    <w:rsid w:val="00C64FCB"/>
    <w:rsid w:val="00C82C6C"/>
    <w:rsid w:val="00C912C6"/>
    <w:rsid w:val="00CC29A2"/>
    <w:rsid w:val="00CD558F"/>
    <w:rsid w:val="00CD6E6F"/>
    <w:rsid w:val="00CE063E"/>
    <w:rsid w:val="00CE2761"/>
    <w:rsid w:val="00CE2E3A"/>
    <w:rsid w:val="00CE7DE0"/>
    <w:rsid w:val="00D10EEC"/>
    <w:rsid w:val="00D148F3"/>
    <w:rsid w:val="00D44394"/>
    <w:rsid w:val="00D627F6"/>
    <w:rsid w:val="00D70F9A"/>
    <w:rsid w:val="00D72F12"/>
    <w:rsid w:val="00D90C42"/>
    <w:rsid w:val="00D958B4"/>
    <w:rsid w:val="00DC0940"/>
    <w:rsid w:val="00DC2F41"/>
    <w:rsid w:val="00DE7924"/>
    <w:rsid w:val="00E06A8C"/>
    <w:rsid w:val="00E12EB0"/>
    <w:rsid w:val="00E22225"/>
    <w:rsid w:val="00E3399B"/>
    <w:rsid w:val="00E362F6"/>
    <w:rsid w:val="00E44AB9"/>
    <w:rsid w:val="00E54DEE"/>
    <w:rsid w:val="00E65AB9"/>
    <w:rsid w:val="00EA5AC6"/>
    <w:rsid w:val="00EC084D"/>
    <w:rsid w:val="00F03F37"/>
    <w:rsid w:val="00F23499"/>
    <w:rsid w:val="00F47B4C"/>
    <w:rsid w:val="00F654E6"/>
    <w:rsid w:val="00F72B9D"/>
    <w:rsid w:val="00F97E31"/>
    <w:rsid w:val="00FA662B"/>
    <w:rsid w:val="00FB77D2"/>
    <w:rsid w:val="00FC0639"/>
    <w:rsid w:val="00FD56E4"/>
    <w:rsid w:val="00FE3202"/>
    <w:rsid w:val="00FF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038D1"/>
  <w14:defaultImageDpi w14:val="300"/>
  <w15:docId w15:val="{DE9855EB-3178-44DC-9E8E-D9BC5D14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19"/>
    <w:pPr>
      <w:ind w:left="720"/>
      <w:contextualSpacing/>
    </w:pPr>
  </w:style>
  <w:style w:type="character" w:styleId="Emphasis">
    <w:name w:val="Emphasis"/>
    <w:basedOn w:val="DefaultParagraphFont"/>
    <w:uiPriority w:val="20"/>
    <w:qFormat/>
    <w:rsid w:val="00181721"/>
    <w:rPr>
      <w:i/>
      <w:iCs/>
    </w:rPr>
  </w:style>
  <w:style w:type="character" w:styleId="Hyperlink">
    <w:name w:val="Hyperlink"/>
    <w:basedOn w:val="DefaultParagraphFont"/>
    <w:uiPriority w:val="99"/>
    <w:unhideWhenUsed/>
    <w:rsid w:val="006070CD"/>
    <w:rPr>
      <w:color w:val="0000FF" w:themeColor="hyperlink"/>
      <w:u w:val="single"/>
    </w:rPr>
  </w:style>
  <w:style w:type="paragraph" w:styleId="BalloonText">
    <w:name w:val="Balloon Text"/>
    <w:basedOn w:val="Normal"/>
    <w:link w:val="BalloonTextChar"/>
    <w:uiPriority w:val="99"/>
    <w:semiHidden/>
    <w:unhideWhenUsed/>
    <w:rsid w:val="00424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5E8"/>
    <w:rPr>
      <w:rFonts w:ascii="Lucida Grande" w:hAnsi="Lucida Grande" w:cs="Lucida Grande"/>
      <w:sz w:val="18"/>
      <w:szCs w:val="18"/>
    </w:rPr>
  </w:style>
  <w:style w:type="character" w:customStyle="1" w:styleId="metalink2">
    <w:name w:val="metalink2"/>
    <w:basedOn w:val="DefaultParagraphFont"/>
    <w:rsid w:val="00B40DA6"/>
  </w:style>
  <w:style w:type="character" w:styleId="FollowedHyperlink">
    <w:name w:val="FollowedHyperlink"/>
    <w:basedOn w:val="DefaultParagraphFont"/>
    <w:uiPriority w:val="99"/>
    <w:semiHidden/>
    <w:unhideWhenUsed/>
    <w:rsid w:val="00B40DA6"/>
    <w:rPr>
      <w:color w:val="800080" w:themeColor="followedHyperlink"/>
      <w:u w:val="single"/>
    </w:rPr>
  </w:style>
  <w:style w:type="paragraph" w:styleId="NormalWeb">
    <w:name w:val="Normal (Web)"/>
    <w:basedOn w:val="Normal"/>
    <w:uiPriority w:val="99"/>
    <w:semiHidden/>
    <w:unhideWhenUsed/>
    <w:rsid w:val="00AB26F8"/>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997C7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7007">
      <w:bodyDiv w:val="1"/>
      <w:marLeft w:val="0"/>
      <w:marRight w:val="0"/>
      <w:marTop w:val="0"/>
      <w:marBottom w:val="0"/>
      <w:divBdr>
        <w:top w:val="none" w:sz="0" w:space="0" w:color="auto"/>
        <w:left w:val="none" w:sz="0" w:space="0" w:color="auto"/>
        <w:bottom w:val="none" w:sz="0" w:space="0" w:color="auto"/>
        <w:right w:val="none" w:sz="0" w:space="0" w:color="auto"/>
      </w:divBdr>
      <w:divsChild>
        <w:div w:id="2056586945">
          <w:marLeft w:val="0"/>
          <w:marRight w:val="0"/>
          <w:marTop w:val="0"/>
          <w:marBottom w:val="0"/>
          <w:divBdr>
            <w:top w:val="none" w:sz="0" w:space="0" w:color="auto"/>
            <w:left w:val="none" w:sz="0" w:space="0" w:color="auto"/>
            <w:bottom w:val="none" w:sz="0" w:space="0" w:color="auto"/>
            <w:right w:val="none" w:sz="0" w:space="0" w:color="auto"/>
          </w:divBdr>
          <w:divsChild>
            <w:div w:id="1349714532">
              <w:marLeft w:val="0"/>
              <w:marRight w:val="0"/>
              <w:marTop w:val="0"/>
              <w:marBottom w:val="0"/>
              <w:divBdr>
                <w:top w:val="none" w:sz="0" w:space="0" w:color="auto"/>
                <w:left w:val="none" w:sz="0" w:space="0" w:color="auto"/>
                <w:bottom w:val="none" w:sz="0" w:space="0" w:color="auto"/>
                <w:right w:val="none" w:sz="0" w:space="0" w:color="auto"/>
              </w:divBdr>
            </w:div>
            <w:div w:id="959844853">
              <w:marLeft w:val="0"/>
              <w:marRight w:val="0"/>
              <w:marTop w:val="0"/>
              <w:marBottom w:val="0"/>
              <w:divBdr>
                <w:top w:val="none" w:sz="0" w:space="0" w:color="auto"/>
                <w:left w:val="none" w:sz="0" w:space="0" w:color="auto"/>
                <w:bottom w:val="none" w:sz="0" w:space="0" w:color="auto"/>
                <w:right w:val="none" w:sz="0" w:space="0" w:color="auto"/>
              </w:divBdr>
              <w:divsChild>
                <w:div w:id="1980841920">
                  <w:marLeft w:val="0"/>
                  <w:marRight w:val="0"/>
                  <w:marTop w:val="0"/>
                  <w:marBottom w:val="0"/>
                  <w:divBdr>
                    <w:top w:val="none" w:sz="0" w:space="0" w:color="auto"/>
                    <w:left w:val="none" w:sz="0" w:space="0" w:color="auto"/>
                    <w:bottom w:val="none" w:sz="0" w:space="0" w:color="auto"/>
                    <w:right w:val="none" w:sz="0" w:space="0" w:color="auto"/>
                  </w:divBdr>
                  <w:divsChild>
                    <w:div w:id="910843967">
                      <w:marLeft w:val="0"/>
                      <w:marRight w:val="0"/>
                      <w:marTop w:val="0"/>
                      <w:marBottom w:val="0"/>
                      <w:divBdr>
                        <w:top w:val="none" w:sz="0" w:space="0" w:color="auto"/>
                        <w:left w:val="none" w:sz="0" w:space="0" w:color="auto"/>
                        <w:bottom w:val="none" w:sz="0" w:space="0" w:color="auto"/>
                        <w:right w:val="none" w:sz="0" w:space="0" w:color="auto"/>
                      </w:divBdr>
                      <w:divsChild>
                        <w:div w:id="6990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4303">
          <w:marLeft w:val="0"/>
          <w:marRight w:val="0"/>
          <w:marTop w:val="0"/>
          <w:marBottom w:val="0"/>
          <w:divBdr>
            <w:top w:val="none" w:sz="0" w:space="0" w:color="auto"/>
            <w:left w:val="none" w:sz="0" w:space="0" w:color="auto"/>
            <w:bottom w:val="none" w:sz="0" w:space="0" w:color="auto"/>
            <w:right w:val="none" w:sz="0" w:space="0" w:color="auto"/>
          </w:divBdr>
          <w:divsChild>
            <w:div w:id="485439362">
              <w:marLeft w:val="0"/>
              <w:marRight w:val="0"/>
              <w:marTop w:val="0"/>
              <w:marBottom w:val="0"/>
              <w:divBdr>
                <w:top w:val="none" w:sz="0" w:space="0" w:color="auto"/>
                <w:left w:val="none" w:sz="0" w:space="0" w:color="auto"/>
                <w:bottom w:val="none" w:sz="0" w:space="0" w:color="auto"/>
                <w:right w:val="none" w:sz="0" w:space="0" w:color="auto"/>
              </w:divBdr>
              <w:divsChild>
                <w:div w:id="1155561765">
                  <w:marLeft w:val="0"/>
                  <w:marRight w:val="0"/>
                  <w:marTop w:val="0"/>
                  <w:marBottom w:val="0"/>
                  <w:divBdr>
                    <w:top w:val="none" w:sz="0" w:space="0" w:color="auto"/>
                    <w:left w:val="none" w:sz="0" w:space="0" w:color="auto"/>
                    <w:bottom w:val="none" w:sz="0" w:space="0" w:color="auto"/>
                    <w:right w:val="none" w:sz="0" w:space="0" w:color="auto"/>
                  </w:divBdr>
                  <w:divsChild>
                    <w:div w:id="1946040779">
                      <w:marLeft w:val="0"/>
                      <w:marRight w:val="0"/>
                      <w:marTop w:val="0"/>
                      <w:marBottom w:val="0"/>
                      <w:divBdr>
                        <w:top w:val="none" w:sz="0" w:space="0" w:color="auto"/>
                        <w:left w:val="none" w:sz="0" w:space="0" w:color="auto"/>
                        <w:bottom w:val="none" w:sz="0" w:space="0" w:color="auto"/>
                        <w:right w:val="none" w:sz="0" w:space="0" w:color="auto"/>
                      </w:divBdr>
                      <w:divsChild>
                        <w:div w:id="10006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42573">
      <w:bodyDiv w:val="1"/>
      <w:marLeft w:val="0"/>
      <w:marRight w:val="0"/>
      <w:marTop w:val="0"/>
      <w:marBottom w:val="0"/>
      <w:divBdr>
        <w:top w:val="none" w:sz="0" w:space="0" w:color="auto"/>
        <w:left w:val="none" w:sz="0" w:space="0" w:color="auto"/>
        <w:bottom w:val="none" w:sz="0" w:space="0" w:color="auto"/>
        <w:right w:val="none" w:sz="0" w:space="0" w:color="auto"/>
      </w:divBdr>
      <w:divsChild>
        <w:div w:id="3055536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ipelineknowle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Wempen</dc:creator>
  <cp:keywords/>
  <dc:description/>
  <cp:lastModifiedBy>Thomas Miesner</cp:lastModifiedBy>
  <cp:revision>2</cp:revision>
  <cp:lastPrinted>2014-06-02T22:59:00Z</cp:lastPrinted>
  <dcterms:created xsi:type="dcterms:W3CDTF">2014-06-09T18:32:00Z</dcterms:created>
  <dcterms:modified xsi:type="dcterms:W3CDTF">2014-06-09T18:32:00Z</dcterms:modified>
</cp:coreProperties>
</file>